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jpg" ContentType="image/jpeg"/>
  <Override PartName="/word/media/rId50.jpg" ContentType="image/jpeg"/>
  <Override PartName="/word/media/rId28.jpg" ContentType="image/jpeg"/>
  <Override PartName="/word/media/rId46.jpg" ContentType="image/jpeg"/>
  <Override PartName="/word/media/rId47.jpg" ContentType="image/jpeg"/>
  <Override PartName="/word/media/rId48.jpg" ContentType="image/jpeg"/>
  <Override PartName="/word/media/rId49.png" ContentType="image/png"/>
  <Override PartName="/word/media/rId52.jpg" ContentType="image/jpeg"/>
  <Override PartName="/word/media/rId33.jpg" ContentType="image/jpeg"/>
  <Override PartName="/word/media/rId31.png" ContentType="image/png"/>
  <Override PartName="/word/media/rId32.jpg" ContentType="image/jpeg"/>
  <Override PartName="/word/media/rId36.jpg" ContentType="image/jpe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An</w:t>
      </w:r>
      <w:r>
        <w:t xml:space="preserve"> </w:t>
      </w:r>
      <w:r>
        <w:t xml:space="preserve">appararatus</w:t>
      </w:r>
      <w:r>
        <w:t xml:space="preserve"> </w:t>
      </w:r>
      <w:r>
        <w:t xml:space="preserve">for</w:t>
      </w:r>
      <w:r>
        <w:t xml:space="preserve"> </w:t>
      </w:r>
      <w:r>
        <w:t xml:space="preserve">the</w:t>
      </w:r>
      <w:r>
        <w:t xml:space="preserve"> </w:t>
      </w:r>
      <w:r>
        <w:t xml:space="preserve">measurement</w:t>
      </w:r>
      <w:r>
        <w:t xml:space="preserve"> </w:t>
      </w:r>
      <w:r>
        <w:t xml:space="preserve">of</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r>
        <w:t xml:space="preserve"> </w:t>
      </w:r>
      <w:r>
        <w:t xml:space="preserve">Theory,</w:t>
      </w:r>
      <w:r>
        <w:t xml:space="preserve"> </w:t>
      </w:r>
      <w:r>
        <w:t xml:space="preserve">practice</w:t>
      </w:r>
      <w:r>
        <w:t xml:space="preserve"> </w:t>
      </w:r>
      <w:r>
        <w:t xml:space="preserve">and</w:t>
      </w:r>
      <w:r>
        <w:t xml:space="preserve"> </w:t>
      </w:r>
      <w:r>
        <w:t xml:space="preserve">usage</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3"/>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FigureWithCaption"/>
      </w:pPr>
      <w:r>
        <w:drawing>
          <wp:inline>
            <wp:extent cx="5334000" cy="1405120"/>
            <wp:effectExtent b="0" l="0" r="0" t="0"/>
            <wp:docPr descr="Figure 4. Device front panel" id="1" name="Picture"/>
            <a:graphic>
              <a:graphicData uri="http://schemas.openxmlformats.org/drawingml/2006/picture">
                <pic:pic>
                  <pic:nvPicPr>
                    <pic:cNvPr descr="Media/imageFrontPanel0.jpg" id="0" name="Picture"/>
                    <pic:cNvPicPr>
                      <a:picLocks noChangeArrowheads="1" noChangeAspect="1"/>
                    </pic:cNvPicPr>
                  </pic:nvPicPr>
                  <pic:blipFill>
                    <a:blip r:embed="rId33"/>
                    <a:stretch>
                      <a:fillRect/>
                    </a:stretch>
                  </pic:blipFill>
                  <pic:spPr bwMode="auto">
                    <a:xfrm>
                      <a:off x="0" y="0"/>
                      <a:ext cx="5334000" cy="1405120"/>
                    </a:xfrm>
                    <a:prstGeom prst="rect">
                      <a:avLst/>
                    </a:prstGeom>
                    <a:noFill/>
                    <a:ln w="9525">
                      <a:noFill/>
                      <a:headEnd/>
                      <a:tailEnd/>
                    </a:ln>
                  </pic:spPr>
                </pic:pic>
              </a:graphicData>
            </a:graphic>
          </wp:inline>
        </w:drawing>
      </w:r>
    </w:p>
    <w:p>
      <w:pPr>
        <w:pStyle w:val="ImageCaption"/>
      </w:pPr>
      <w:r>
        <w:t xml:space="preserve">Figure 4. Device front panel</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r>
              <m:rPr/>
              <m:t> </m:t>
            </m:r>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o</m:t>
            </m:r>
            <m:r>
              <m:rPr/>
              <m:t>u</m:t>
            </m:r>
            <m:r>
              <m:rPr/>
              <m:t>t</m:t>
            </m:r>
          </m:sub>
        </m:sSub>
      </m:oMath>
      <m:oMath>
        <m:sSub>
          <m:e>
            <m:r>
              <m:rPr/>
              <m:t/>
            </m:r>
          </m:e>
          <m:sub>
            <m:r>
              <m:rPr/>
              <m:t>H</m:t>
            </m:r>
          </m:sub>
        </m:sSub>
      </m:oMath>
      <w:r>
        <w:rPr>
          <w:rStyle w:val="FootnoteReference"/>
        </w:rPr>
        <w:footnoteReference w:id="34"/>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5" w:name="hall-voltage-and-resistance-measurements-at-room-temperature"/>
      <w:bookmarkEnd w:id="35"/>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5).</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5.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6"/>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5.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next chapter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Heading3"/>
      </w:pPr>
      <w:bookmarkStart w:id="37" w:name="measurements-at-constant-i-and-b-while-varying-the-temperature"/>
      <w:bookmarkEnd w:id="37"/>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8"/>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sub>
        </m:sSub>
      </m:oMath>
      <m:oMath>
        <m:sSub>
          <m:e>
            <m:r>
              <m:rPr/>
              <m:t/>
            </m:r>
          </m:e>
          <m:sub>
            <m:r>
              <m:rPr/>
              <m:t>T</m:t>
            </m:r>
          </m:sub>
        </m:sSub>
      </m:oMath>
      <w:r>
        <w:t xml:space="preserve">=2.5V 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6.</w:t>
      </w:r>
    </w:p>
    <w:p>
      <w:pPr>
        <w:pStyle w:val="FigureWithCaption"/>
      </w:pPr>
      <w:r>
        <w:drawing>
          <wp:inline>
            <wp:extent cx="1229393" cy="1535213"/>
            <wp:effectExtent b="0" l="0" r="0" t="0"/>
            <wp:docPr descr="Figure 6.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0"/>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6.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6) of the thermocouple using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A fitting polynomial (24) of the fifth order is sufficient, given the precision of our equipment.</w:t>
      </w:r>
    </w:p>
    <w:p>
      <w:pPr>
        <w:pStyle w:val="BodyText"/>
      </w:pPr>
      <w:r>
        <w:t xml:space="preserve">The table 1 shows the polynomial coefficients obtained from a best fit of the NIST</w:t>
      </w:r>
      <w:r>
        <w:rPr>
          <w:rStyle w:val="FootnoteReference"/>
        </w:rPr>
        <w:footnoteReference w:id="41"/>
      </w:r>
      <w:r>
        <w:t xml:space="preserve"> </w:t>
      </w:r>
      <w:r>
        <w:t xml:space="preserve">data tables.</w:t>
      </w:r>
    </w:p>
    <w:p>
      <w:pPr>
        <w:pStyle w:val="TableCaption"/>
      </w:pPr>
      <w:r>
        <w:t xml:space="preserve">Table 1. Polynomial coefficients obtained from NIST K thermocouple tables (</w:t>
      </w:r>
      <m:oMath>
        <m:r>
          <m:rPr/>
          <m:t>−</m:t>
        </m:r>
        <m:r>
          <m:rPr/>
          <m:t>200</m:t>
        </m:r>
        <m:r>
          <m:rPr/>
          <m:t>&lt;</m:t>
        </m:r>
        <m:r>
          <m:rPr/>
          <m:t>t</m:t>
        </m:r>
        <m:r>
          <m:rPr/>
          <m:t> </m:t>
        </m:r>
        <m:sSup>
          <m:e>
            <m:r>
              <m:rPr/>
              <m:t>[</m:t>
            </m:r>
          </m:e>
          <m:sup>
            <m:r>
              <m:rPr/>
              <m:t>∘</m:t>
            </m:r>
          </m:sup>
        </m:sSup>
        <m:r>
          <m:rPr>
            <m:sty m:val="p"/>
          </m:rPr>
          <m:t>C</m:t>
        </m:r>
        <m:r>
          <m:rPr/>
          <m:t>]</m:t>
        </m:r>
        <m:r>
          <m:rPr/>
          <m:t>&lt;</m:t>
        </m:r>
        <m:r>
          <m:rPr/>
          <m:t>200</m:t>
        </m:r>
      </m:oMath>
      <w:r>
        <w:t xml:space="preserve">).</w:t>
      </w:r>
    </w:p>
    <w:tbl>
      <w:tblPr>
        <w:tblStyle w:val="TableNormal"/>
        <w:tblW w:type="pct" w:w="0.0"/>
        <w:tblLook w:firstRow="1"/>
        <w:tblCaption w:val="Table 1. Polynomial coefficients obtained from NIST K thermocouple tables (-200&lt; t \, [^{\circ}\mathrm{C}] &lt;200)."/>
      </w:tblPr>
      <w:tblGrid/>
      <w:tr>
        <w:trPr>
          <w:cnfStyle w:firstRow="1"/>
        </w:trPr>
        <w:tc>
          <w:tcPr>
            <w:tcBorders>
              <w:bottom w:val="single"/>
            </w:tcBorders>
            <w:vAlign w:val="bottom"/>
          </w:tcPr>
          <w:p>
            <w:pPr>
              <w:pStyle w:val="Compact"/>
              <w:jc w:val="left"/>
            </w:pPr>
            <w:r>
              <w:t xml:space="preserve">Coefficient</w:t>
            </w:r>
          </w:p>
        </w:tc>
        <w:tc>
          <w:tcPr>
            <w:tcBorders>
              <w:bottom w:val="single"/>
            </w:tcBorders>
            <w:vAlign w:val="bottom"/>
          </w:tcPr>
          <w:p>
            <w:pPr>
              <w:pStyle w:val="Compact"/>
              <w:jc w:val="left"/>
            </w:pPr>
            <w:r>
              <w:t xml:space="preserve">Value</w:t>
            </w:r>
          </w:p>
        </w:tc>
      </w:tr>
      <w:tr>
        <w:tc>
          <w:p>
            <w:pPr>
              <w:pStyle w:val="Compact"/>
              <w:jc w:val="left"/>
            </w:pPr>
            <m:oMath>
              <m:sSub>
                <m:e>
                  <m:r>
                    <m:rPr/>
                    <m:t>d</m:t>
                  </m:r>
                </m:e>
                <m:sub>
                  <m:r>
                    <m:rPr/>
                    <m:t>0</m:t>
                  </m:r>
                </m:sub>
              </m:sSub>
            </m:oMath>
          </w:p>
        </w:tc>
        <w:tc>
          <w:p>
            <w:pPr>
              <w:pStyle w:val="Compact"/>
              <w:jc w:val="left"/>
            </w:pPr>
            <m:oMath>
              <m:r>
                <m:rPr/>
                <m:t>0.3837</m:t>
              </m:r>
            </m:oMath>
          </w:p>
        </w:tc>
      </w:tr>
      <w:tr>
        <w:tc>
          <w:p>
            <w:pPr>
              <w:pStyle w:val="Compact"/>
              <w:jc w:val="left"/>
            </w:pPr>
            <m:oMath>
              <m:sSub>
                <m:e>
                  <m:r>
                    <m:rPr/>
                    <m:t>d</m:t>
                  </m:r>
                </m:e>
                <m:sub>
                  <m:r>
                    <m:rPr/>
                    <m:t>1</m:t>
                  </m:r>
                </m:sub>
              </m:sSub>
            </m:oMath>
          </w:p>
        </w:tc>
        <w:tc>
          <w:p>
            <w:pPr>
              <w:pStyle w:val="Compact"/>
              <w:jc w:val="left"/>
            </w:pPr>
            <m:oMath>
              <m:r>
                <m:rPr/>
                <m:t>25.22</m:t>
              </m:r>
            </m:oMath>
          </w:p>
        </w:tc>
      </w:tr>
      <w:tr>
        <w:tc>
          <w:p>
            <w:pPr>
              <w:pStyle w:val="Compact"/>
              <w:jc w:val="left"/>
            </w:pPr>
            <m:oMath>
              <m:sSub>
                <m:e>
                  <m:r>
                    <m:rPr/>
                    <m:t>d</m:t>
                  </m:r>
                </m:e>
                <m:sub>
                  <m:r>
                    <m:rPr/>
                    <m:t>2</m:t>
                  </m:r>
                </m:sub>
              </m:sSub>
            </m:oMath>
          </w:p>
        </w:tc>
        <w:tc>
          <w:p>
            <w:pPr>
              <w:pStyle w:val="Compact"/>
              <w:jc w:val="left"/>
            </w:pPr>
            <w:r>
              <w:t xml:space="preserve">­</w:t>
            </w:r>
            <m:oMath>
              <m:r>
                <m:rPr/>
                <m:t>0.2795</m:t>
              </m:r>
            </m:oMath>
          </w:p>
        </w:tc>
      </w:tr>
      <w:tr>
        <w:tc>
          <w:p>
            <w:pPr>
              <w:pStyle w:val="Compact"/>
              <w:jc w:val="left"/>
            </w:pPr>
            <m:oMath>
              <m:sSub>
                <m:e>
                  <m:r>
                    <m:rPr/>
                    <m:t>d</m:t>
                  </m:r>
                </m:e>
                <m:sub>
                  <m:r>
                    <m:rPr/>
                    <m:t>3</m:t>
                  </m:r>
                </m:sub>
              </m:sSub>
            </m:oMath>
          </w:p>
        </w:tc>
        <w:tc>
          <w:p>
            <w:pPr>
              <w:pStyle w:val="Compact"/>
              <w:jc w:val="left"/>
            </w:pPr>
            <m:oMath>
              <m:r>
                <m:rPr/>
                <m:t>0.07205</m:t>
              </m:r>
            </m:oMath>
          </w:p>
        </w:tc>
      </w:tr>
      <w:tr>
        <w:tc>
          <w:p>
            <w:pPr>
              <w:pStyle w:val="Compact"/>
              <w:jc w:val="left"/>
            </w:pPr>
            <m:oMath>
              <m:sSub>
                <m:e>
                  <m:r>
                    <m:rPr/>
                    <m:t>d</m:t>
                  </m:r>
                </m:e>
                <m:sub>
                  <m:r>
                    <m:rPr/>
                    <m:t>4</m:t>
                  </m:r>
                </m:sub>
              </m:sSub>
            </m:oMath>
          </w:p>
        </w:tc>
        <w:tc>
          <w:p>
            <w:pPr>
              <w:pStyle w:val="Compact"/>
              <w:jc w:val="left"/>
            </w:pPr>
            <m:oMath>
              <m:r>
                <m:rPr/>
                <m:t>0.01409</m:t>
              </m:r>
            </m:oMath>
          </w:p>
        </w:tc>
      </w:tr>
      <w:tr>
        <w:tc>
          <w:p>
            <w:pPr>
              <w:pStyle w:val="Compact"/>
              <w:jc w:val="left"/>
            </w:pPr>
            <m:oMath>
              <m:sSub>
                <m:e>
                  <m:r>
                    <m:rPr/>
                    <m:t>d</m:t>
                  </m:r>
                </m:e>
                <m:sub>
                  <m:r>
                    <m:rPr/>
                    <m:t>5</m:t>
                  </m:r>
                </m:sub>
              </m:sSub>
            </m:oMath>
          </w:p>
        </w:tc>
        <w:tc>
          <w:p>
            <w:pPr>
              <w:pStyle w:val="Compact"/>
              <w:jc w:val="left"/>
            </w:pPr>
            <m:oMath>
              <m:r>
                <m:rPr/>
                <m:t>0.001056</m:t>
              </m:r>
            </m:oMath>
          </w:p>
        </w:tc>
      </w:tr>
    </w:tbl>
    <w:p>
      <w:pPr>
        <w:pStyle w:val="BodyText"/>
      </w:pPr>
      <w:r>
        <w:t xml:space="preserve">The voltage</w:t>
      </w:r>
      <w:r>
        <w:t xml:space="preserve"> </w:t>
      </w:r>
      <m:oMath>
        <m:r>
          <m:rPr/>
          <m:t>E</m:t>
        </m:r>
      </m:oMath>
      <w:r>
        <w:t xml:space="preserve"> </w:t>
      </w:r>
      <w:r>
        <w:t xml:space="preserve">at the thermocouple junction can be obtained</w:t>
      </w:r>
      <w:r>
        <w:rPr>
          <w:rStyle w:val="FootnoteReference"/>
        </w:rPr>
        <w:footnoteReference w:id="42"/>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 125 mV 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Using the fitting polynomial (24) allows us to finally obtain the temperature in Celsius:</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BodyText"/>
      </w:pPr>
      <w:r>
        <w:rPr>
          <w:rStyle w:val="VerbatimChar"/>
        </w:rPr>
        <w:t xml:space="preserve">c #define THERMOCOUPLE_OFFSET 0.00125 #define THERMOCOUPLE_GAIN 122.4 float b[6]={-0.383695902,25.215123839,-0.279516961,0.072045800,-0.014094503,0.001055528}; float lin_extrap_temp(float E){ //E is the voltage at the thermocouple output     float t=0;     E=E*1000; //from V to mV     t=b[0]+b[1]*E+b[2]*pow(E,2)+b[3]*pow(E,3)+b[4]*pow(E,4)+b[5]*pow(E,5);     return t;   } Float thermocouple_voltage(float vout,float vref){     return ((vout)-(vref)-THERMOCOUPLE_OFFSET)/(2*THERMOCOUPLE_GAIN); }</w:t>
      </w:r>
      <w:r>
        <w:t xml:space="preserve"> </w:t>
      </w: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r>
          <m:rPr/>
          <m:t> </m:t>
        </m:r>
        <m:sSup>
          <m:e>
            <m:r>
              <m:rPr/>
              <m:t> </m:t>
            </m:r>
          </m:e>
          <m:sup>
            <m:r>
              <m:rPr/>
              <m:t>∘</m:t>
            </m:r>
          </m:sup>
        </m:sSup>
        <m:r>
          <m:rPr>
            <m:sty m:val="p"/>
          </m:rPr>
          <m:t>C</m:t>
        </m:r>
      </m:oMath>
      <w:r>
        <w:t xml:space="preserve">.</w:t>
      </w:r>
    </w:p>
    <w:p>
      <w:pPr>
        <w:pStyle w:val="Heading3"/>
      </w:pPr>
      <w:bookmarkStart w:id="44" w:name="suggested-procedure"/>
      <w:bookmarkEnd w:id="44"/>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5.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5" w:name="typical-results"/>
      <w:bookmarkEnd w:id="45"/>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7.</w:t>
      </w:r>
    </w:p>
    <w:p>
      <w:pPr>
        <w:pStyle w:val="FigureWithCaption"/>
      </w:pPr>
      <w:r>
        <w:drawing>
          <wp:inline>
            <wp:extent cx="4855464" cy="2788920"/>
            <wp:effectExtent b="0" l="0" r="0" t="0"/>
            <wp:docPr descr="Figure 7.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6"/>
                    <a:stretch>
                      <a:fillRect/>
                    </a:stretch>
                  </pic:blipFill>
                  <pic:spPr bwMode="auto">
                    <a:xfrm>
                      <a:off x="0" y="0"/>
                      <a:ext cx="4855464" cy="2788920"/>
                    </a:xfrm>
                    <a:prstGeom prst="rect">
                      <a:avLst/>
                    </a:prstGeom>
                    <a:noFill/>
                    <a:ln w="9525">
                      <a:noFill/>
                      <a:headEnd/>
                      <a:tailEnd/>
                    </a:ln>
                  </pic:spPr>
                </pic:pic>
              </a:graphicData>
            </a:graphic>
          </wp:inline>
        </w:drawing>
      </w:r>
    </w:p>
    <w:p>
      <w:pPr>
        <w:pStyle w:val="ImageCaption"/>
      </w:pPr>
      <w:r>
        <w:t xml:space="preserve">Figure 7.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8.</w:t>
      </w:r>
    </w:p>
    <w:p>
      <w:pPr>
        <w:pStyle w:val="FigureWithCaption"/>
      </w:pPr>
      <w:r>
        <w:drawing>
          <wp:inline>
            <wp:extent cx="3998976" cy="2462784"/>
            <wp:effectExtent b="0" l="0" r="0" t="0"/>
            <wp:docPr descr="Figure 8.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7"/>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8. Hall voltage versus magnetic field intensity</w:t>
      </w:r>
      <w:r>
        <w:t xml:space="preserve"> </w:t>
      </w:r>
      <m:oMath>
        <m:r>
          <m:rPr/>
          <m:t>B</m:t>
        </m:r>
      </m:oMath>
      <w:r>
        <w:t xml:space="preserve"> </w:t>
      </w:r>
      <w:r>
        <w:t xml:space="preserve">.</w:t>
      </w:r>
    </w:p>
    <w:p>
      <w:pPr>
        <w:pStyle w:val="BodyText"/>
      </w:pPr>
      <w:r>
        <w:t xml:space="preserve">Figure 9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w:r>
        <w:t xml:space="preserve">=</w:t>
      </w:r>
      <w:r>
        <w:t xml:space="preserve"> </w:t>
      </w:r>
      <m:oMath>
        <m:sSub>
          <m:e>
            <m:r>
              <m:rPr/>
              <m:t>V</m:t>
            </m:r>
          </m:e>
          <m:sub>
            <m:r>
              <m:rPr/>
              <m:t>o</m:t>
            </m:r>
            <m:r>
              <m:rPr/>
              <m:t>u</m:t>
            </m:r>
            <m:r>
              <m:rPr/>
              <m:t>t</m:t>
            </m:r>
          </m:sub>
        </m:sSub>
      </m:oMath>
      <m:oMath>
        <m:sSub>
          <m:e>
            <m:r>
              <m:rPr/>
              <m:t/>
            </m:r>
          </m:e>
          <m:sub>
            <m:r>
              <m:rPr/>
              <m:t>T</m:t>
            </m:r>
          </m:sub>
        </m:sSub>
      </m:oMath>
      <w:r>
        <w:t xml:space="preserve">,</w:t>
      </w:r>
      <w:r>
        <w:t xml:space="preserve"> </w:t>
      </w:r>
      <w:r>
        <w:rPr>
          <w:i/>
        </w:rPr>
        <w:t xml:space="preserve">Potential 2</w:t>
      </w:r>
      <w:r>
        <w:t xml:space="preserve"> </w:t>
      </w:r>
      <w:r>
        <w:t xml:space="preserve">=</w:t>
      </w:r>
      <w:r>
        <w:t xml:space="preserve"> </w:t>
      </w:r>
      <m:oMath>
        <m:sSub>
          <m:e>
            <m:r>
              <m:rPr/>
              <m:t>V</m:t>
            </m:r>
          </m:e>
          <m:sub>
            <m:r>
              <m:rPr/>
              <m:t>o</m:t>
            </m:r>
            <m:r>
              <m:rPr/>
              <m:t>u</m:t>
            </m:r>
            <m:r>
              <m:rPr/>
              <m:t>t</m:t>
            </m:r>
          </m:sub>
        </m:sSub>
      </m:oMath>
      <m:oMath>
        <m:sSub>
          <m:e>
            <m:r>
              <m:rPr/>
              <m:t/>
            </m:r>
          </m:e>
          <m:sub>
            <m:r>
              <m:rPr/>
              <m:t>H</m:t>
            </m:r>
          </m:sub>
        </m:sSub>
      </m:oMath>
      <w:r>
        <w:t xml:space="preserve">,</w:t>
      </w:r>
      <w:r>
        <w:t xml:space="preserve"> </w:t>
      </w:r>
      <w:r>
        <w:rPr>
          <w:i/>
        </w:rPr>
        <w:t xml:space="preserve">Potential 3</w:t>
      </w:r>
      <w:r>
        <w:t xml:space="preserve"> </w:t>
      </w:r>
      <w:r>
        <w:t xml:space="preserve">=</w:t>
      </w:r>
      <w:r>
        <w:t xml:space="preserve"> </w:t>
      </w:r>
      <m:oMath>
        <m:sSub>
          <m:e>
            <m:r>
              <m:rPr/>
              <m:t>V</m:t>
            </m:r>
          </m:e>
          <m:sub>
            <m:r>
              <m:rPr/>
              <m:t>o</m:t>
            </m:r>
            <m:r>
              <m:rPr/>
              <m:t>u</m:t>
            </m:r>
            <m:r>
              <m:rPr/>
              <m:t>t</m:t>
            </m:r>
          </m:sub>
        </m:sSub>
      </m:oMath>
      <m:oMath>
        <m:sSub>
          <m:e>
            <m:r>
              <m:rPr/>
              <m:t/>
            </m:r>
          </m:e>
          <m:sub>
            <m:r>
              <m:rPr/>
              <m:t>R</m:t>
            </m:r>
          </m:sub>
        </m:sSub>
      </m:oMath>
      <w:r>
        <w:t xml:space="preserve">.</w:t>
      </w:r>
    </w:p>
    <w:p>
      <w:pPr>
        <w:pStyle w:val="FigureWithCaption"/>
      </w:pPr>
      <w:r>
        <w:drawing>
          <wp:inline>
            <wp:extent cx="3980688" cy="2304288"/>
            <wp:effectExtent b="0" l="0" r="0" t="0"/>
            <wp:docPr descr="Figure 9.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8"/>
                    <a:stretch>
                      <a:fillRect/>
                    </a:stretch>
                  </pic:blipFill>
                  <pic:spPr bwMode="auto">
                    <a:xfrm>
                      <a:off x="0" y="0"/>
                      <a:ext cx="3980688" cy="2304288"/>
                    </a:xfrm>
                    <a:prstGeom prst="rect">
                      <a:avLst/>
                    </a:prstGeom>
                    <a:noFill/>
                    <a:ln w="9525">
                      <a:noFill/>
                      <a:headEnd/>
                      <a:tailEnd/>
                    </a:ln>
                  </pic:spPr>
                </pic:pic>
              </a:graphicData>
            </a:graphic>
          </wp:inline>
        </w:drawing>
      </w:r>
    </w:p>
    <w:p>
      <w:pPr>
        <w:pStyle w:val="ImageCaption"/>
      </w:pPr>
      <w:r>
        <w:t xml:space="preserve">Figure 9.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10.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9"/>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10.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11 )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see Appendix 3)</w:t>
      </w:r>
    </w:p>
    <w:p>
      <w:pPr>
        <w:pStyle w:val="FigureWithCaption"/>
      </w:pPr>
      <w:r>
        <w:drawing>
          <wp:inline>
            <wp:extent cx="4888992" cy="2743200"/>
            <wp:effectExtent b="0" l="0" r="0" t="0"/>
            <wp:docPr descr="Figure 11.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50"/>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11. Example of linear best fit in the intrinsic region (high temperature)</w:t>
      </w:r>
    </w:p>
    <w:p>
      <w:pPr>
        <w:pStyle w:val="Heading2"/>
      </w:pPr>
      <w:bookmarkStart w:id="51" w:name="appendix-1-use-of-the-optional-extension-hub"/>
      <w:bookmarkEnd w:id="51"/>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12).</w:t>
      </w:r>
    </w:p>
    <w:p>
      <w:pPr>
        <w:pStyle w:val="FigureWithCaption"/>
      </w:pPr>
      <w:r>
        <w:drawing>
          <wp:inline>
            <wp:extent cx="5334000" cy="4981014"/>
            <wp:effectExtent b="0" l="0" r="0" t="0"/>
            <wp:docPr descr="Figure 12.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2"/>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12. The Extension HUB connections</w:t>
      </w:r>
    </w:p>
    <w:p>
      <w:pPr>
        <w:pStyle w:val="BodyText"/>
      </w:pPr>
      <w:r>
        <w:t xml:space="preserve">For example a two-wire resistance measurement between the Test Points (TP) 1-4, 1-5, 7-4 or 7-5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3" w:name="appendix-2-calculation-of-r_h-for-small-and-high-magnetic-field"/>
      <w:bookmarkEnd w:id="53"/>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2"/>
      </w:pPr>
      <w:bookmarkStart w:id="54" w:name="appendix-3-temperature-dependence-of-e_g"/>
      <w:bookmarkEnd w:id="54"/>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3.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5"/>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13. Temperature dependance of the energy gap</w:t>
      </w:r>
    </w:p>
    <w:p>
      <w:pPr>
        <w:pStyle w:val="BodyText"/>
      </w:pPr>
    </w:p>
    <w:p>
      <w:pPr>
        <w:pStyle w:val="Heading2"/>
      </w:pPr>
      <w:bookmarkStart w:id="56" w:name="warnings"/>
      <w:bookmarkEnd w:id="56"/>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is placed near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7" w:name="references"/>
      <w:bookmarkEnd w:id="57"/>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 http://www.ioffe.rssi.ru/SVA/NSm/introduction.html (Electronic archive)</w:t>
      </w:r>
    </w:p>
    <w:p>
      <w:pPr>
        <w:pStyle w:val="Compact"/>
        <w:numPr>
          <w:numId w:val="1006"/>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8" w:name="authorship"/>
      <w:bookmarkEnd w:id="58"/>
      <w:r>
        <w:t xml:space="preserve">Authorship</w:t>
      </w:r>
    </w:p>
    <w:p>
      <w:pPr>
        <w:pStyle w:val="FirstParagraph"/>
      </w:pPr>
      <w:r>
        <w:t xml:space="preserve">This Handbook was originally written by Giacomo Torzo of</w:t>
      </w:r>
      <w:r>
        <w:t xml:space="preserve"> </w:t>
      </w:r>
      <w:hyperlink r:id="rId59">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60">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4">
    <w:p>
      <w:pPr>
        <w:pStyle w:val="FootnoteText"/>
      </w:pPr>
      <w:r>
        <w:rPr>
          <w:rStyle w:val="FootnoteReference"/>
        </w:rPr>
        <w:footnoteRef/>
      </w:r>
      <w:r>
        <w:t xml:space="preserve"> </w:t>
      </w:r>
      <w:r>
        <w:t xml:space="preserve">The gain can change due to specifications and calibration. Please refer to the values displayed on the front panel.</w:t>
      </w:r>
      <w:r>
        <w:t xml:space="preserve"> </w:t>
      </w: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 as shown in figure 4. The gain values shown on the front panel are the product of DA and PGA gains for both channels.</w:t>
      </w:r>
    </w:p>
  </w:footnote>
  <w:footnote w:id="38">
    <w:p>
      <w:pPr>
        <w:pStyle w:val="FootnoteText"/>
      </w:pPr>
      <w:r>
        <w:rPr>
          <w:rStyle w:val="FootnoteReference"/>
        </w:rPr>
        <w:footnoteRef/>
      </w:r>
      <w:r>
        <w:t xml:space="preserve"> </w:t>
      </w:r>
      <w:hyperlink r:id="rId39">
        <w:r>
          <w:rPr>
            <w:rStyle w:val="Hyperlink"/>
          </w:rPr>
          <w:t xml:space="preserve">AD8495 datasheet, Analog Semiconductors</w:t>
        </w:r>
      </w:hyperlink>
    </w:p>
  </w:footnote>
  <w:footnote w:id="41">
    <w:p>
      <w:pPr>
        <w:pStyle w:val="FootnoteText"/>
      </w:pPr>
      <w:r>
        <w:rPr>
          <w:rStyle w:val="FootnoteReference"/>
        </w:rPr>
        <w:footnoteRef/>
      </w:r>
      <w:r>
        <w:t xml:space="preserve"> </w:t>
      </w:r>
      <w:r>
        <w:t xml:space="preserve">NIST t-90 tables for K type thermocouples, http://srdata.nist.gov/its90/download/type_k.tab</w:t>
      </w:r>
    </w:p>
  </w:footnote>
  <w:footnote w:id="42">
    <w:p>
      <w:pPr>
        <w:pStyle w:val="FootnoteText"/>
      </w:pPr>
      <w:r>
        <w:rPr>
          <w:rStyle w:val="FootnoteReference"/>
        </w:rPr>
        <w:footnoteRef/>
      </w:r>
      <w:r>
        <w:t xml:space="preserve"> </w:t>
      </w:r>
      <w:hyperlink r:id="rId43">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338752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63b8454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ac56f67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4191f12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jpg"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33" Target="media/rId33.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6" Target="media/rId36.jpg" /><Relationship Type="http://schemas.openxmlformats.org/officeDocument/2006/relationships/image" Id="rId40" Target="media/rId40.png" /><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9" Target="http://www.analog.com/en/products/amplifiers/specialty-amplifiers/thermocouple-interface-amplifiers/AD8495.html" TargetMode="External" /><Relationship Type="http://schemas.openxmlformats.org/officeDocument/2006/relationships/hyperlink" Id="rId43"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